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contextualSpacing w:val="0"/>
        <w:jc w:val="center"/>
        <w:spacing w:before="0" w:after="0" w:line="276" w:lineRule="auto"/>
        <w:rPr>
          <w:rFonts w:ascii="PT Astra Serif" w:hAnsi="PT Astra Serif" w:cs="PT Astra Serif"/>
          <w:sz w:val="26"/>
          <w:szCs w:val="26"/>
        </w:rPr>
        <w:suppressLineNumbers w:val="0"/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Пояснительная записка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58"/>
        <w:jc w:val="center"/>
        <w:rPr>
          <w:rFonts w:ascii="PT Astra Serif" w:hAnsi="PT Astra Serif" w:cs="PT Astra Serif"/>
          <w:b w:val="0"/>
          <w:bCs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 проекту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постановления Правительства Республики Хакасия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«</w:t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 мерах по участию Республики Хакасия в мероприятиях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 15.04.2014 № 316, </w:t>
        <w:br/>
        <w:t xml:space="preserve">по созданию (развитию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) индустриальных (промышленных) парков, агропромышленных парков, технопарков, промышленных технопарков</w:t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eastAsia="PT Astra Serif" w:cs="PT Astra Serif"/>
          <w:bCs/>
          <w:sz w:val="26"/>
          <w:szCs w:val="26"/>
          <w:lang w:eastAsia="ru-RU"/>
        </w:rPr>
        <w:t xml:space="preserve">»</w:t>
      </w:r>
      <w:r>
        <w:rPr>
          <w:rFonts w:ascii="PT Astra Serif" w:hAnsi="PT Astra Serif" w:cs="PT Astra Serif"/>
          <w:b w:val="0"/>
          <w:bCs/>
          <w:color w:val="000000"/>
          <w:sz w:val="26"/>
          <w:szCs w:val="26"/>
        </w:rPr>
      </w:r>
      <w:r>
        <w:rPr>
          <w:rFonts w:ascii="PT Astra Serif" w:hAnsi="PT Astra Serif" w:cs="PT Astra Serif"/>
          <w:b w:val="0"/>
          <w:bCs/>
          <w:color w:val="000000"/>
          <w:sz w:val="26"/>
          <w:szCs w:val="26"/>
        </w:rPr>
      </w:r>
    </w:p>
    <w:p>
      <w:pPr>
        <w:pStyle w:val="858"/>
        <w:contextualSpacing w:val="0"/>
        <w:jc w:val="left"/>
        <w:spacing w:before="0" w:after="0" w:line="276" w:lineRule="auto"/>
        <w:rPr>
          <w:rFonts w:ascii="PT Astra Serif" w:hAnsi="PT Astra Serif" w:cs="PT Astra Serif"/>
          <w:sz w:val="26"/>
          <w:szCs w:val="26"/>
        </w:rPr>
        <w:suppressLineNumbers w:val="0"/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58"/>
        <w:contextualSpacing w:val="0"/>
        <w:ind w:left="709" w:firstLine="0"/>
        <w:jc w:val="both"/>
        <w:spacing w:before="0" w:after="0" w:line="276" w:lineRule="auto"/>
        <w:shd w:val="clear" w:color="auto" w:fill="ffffff"/>
        <w:rPr>
          <w:rFonts w:ascii="PT Astra Serif" w:hAnsi="PT Astra Serif" w:cs="PT Astra Serif"/>
          <w:bCs/>
          <w:sz w:val="26"/>
          <w:szCs w:val="26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1.Предмет правового регулирования: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</w:t>
      </w:r>
      <w:r>
        <w:rPr>
          <w:rFonts w:ascii="PT Astra Serif" w:hAnsi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pStyle w:val="858"/>
        <w:ind w:left="0" w:right="0" w:firstLine="709"/>
        <w:jc w:val="both"/>
        <w:rPr>
          <w:rFonts w:ascii="PT Astra Serif" w:hAnsi="PT Astra Serif" w:cs="PT Astra Serif"/>
          <w:bCs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Предметом правового регулирования проекта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постановления Правительства Республики Хакасия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«О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мерах по участию Республики Хакасия в мероприятиях государственной программы Российской Федерации «Экономическое развитие </w:t>
        <w:br/>
        <w:t xml:space="preserve">и инновационная экономика», утвержденной постановлением Правительства Российской Федерации от 15.04.2014 № 316 «Об утверждении госуд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арственной программы Российской Федерации «Экономическое развитие и инновационная экономика», по созданию (развитию) индустриальных (промышленных) парков, агропромышленных парков, технопарков, промышленных технопарков»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(далее – проект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постановления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)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Cs/>
          <w:sz w:val="26"/>
          <w:szCs w:val="26"/>
          <w:highlight w:val="none"/>
        </w:rPr>
        <w:t xml:space="preserve">являются правоотношения</w:t>
      </w:r>
      <w:r>
        <w:rPr>
          <w:rFonts w:ascii="PT Astra Serif" w:hAnsi="PT Astra Serif" w:eastAsia="PT Astra Serif" w:cs="PT Astra Serif"/>
          <w:bCs/>
          <w:sz w:val="26"/>
          <w:szCs w:val="26"/>
          <w:highlight w:val="none"/>
        </w:rPr>
        <w:t xml:space="preserve">,</w:t>
      </w:r>
      <w:r>
        <w:rPr>
          <w:rFonts w:ascii="PT Astra Serif" w:hAnsi="PT Astra Serif" w:eastAsia="PT Astra Serif" w:cs="PT Astra Serif"/>
          <w:bCs/>
          <w:sz w:val="26"/>
          <w:szCs w:val="26"/>
          <w:highlight w:val="none"/>
        </w:rPr>
        <w:t xml:space="preserve"> возникшие</w:t>
      </w:r>
      <w:r>
        <w:rPr>
          <w:rFonts w:ascii="PT Astra Serif" w:hAnsi="PT Astra Serif" w:eastAsia="PT Astra Serif" w:cs="PT Astra Serif"/>
          <w:bCs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 сфере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поддержки субъектов малого среднего предпринимательства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промышленных предприятий </w:t>
        <w:br/>
      </w:r>
      <w:r>
        <w:rPr>
          <w:rFonts w:ascii="PT Astra Serif" w:hAnsi="PT Astra Serif" w:eastAsia="PT Astra Serif" w:cs="PT Astra Serif"/>
          <w:sz w:val="26"/>
          <w:szCs w:val="26"/>
        </w:rPr>
        <w:t xml:space="preserve">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инвестиционного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развития.</w:t>
      </w:r>
      <w:r>
        <w:rPr>
          <w:rFonts w:ascii="PT Astra Serif" w:hAnsi="PT Astra Serif" w:cs="PT Astra Serif"/>
          <w:bCs/>
          <w:szCs w:val="26"/>
        </w:rPr>
      </w:r>
      <w:r>
        <w:rPr>
          <w:rFonts w:ascii="PT Astra Serif" w:hAnsi="PT Astra Serif" w:cs="PT Astra Serif"/>
          <w:bCs/>
          <w:szCs w:val="26"/>
        </w:rPr>
      </w:r>
    </w:p>
    <w:p>
      <w:pPr>
        <w:ind w:left="0" w:righ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Перечень нормативных актов, регулирующих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общественные отношения </w:t>
        <w:br/>
        <w:t xml:space="preserve">в данной сфере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85"/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b w:val="0"/>
          <w:bCs w:val="0"/>
          <w:i w:val="0"/>
          <w:strike w:val="0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6"/>
          <w:lang w:val="ru-RU"/>
        </w:rPr>
        <w:t xml:space="preserve">Постановление Правительства Российской Федерации от 15.04.2014 № 316 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6"/>
          <w:lang w:val="ru-RU"/>
        </w:rPr>
        <w:t xml:space="preserve">Об утверждении государственной программы Российской Федерации «Экономическое развитие и инновационная экономика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6"/>
          <w:lang w:val="ru-RU"/>
        </w:rPr>
        <w:t xml:space="preserve">», требования к реализации мероприятий,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6"/>
          <w:lang w:val="ru-RU"/>
        </w:rPr>
        <w:t xml:space="preserve"> осуществляемых субъектами Российской Федерации, бюджетам которых предоставляются субсидии на государственную поддержку малого </w:t>
        <w:br/>
        <w:t xml:space="preserve">и среднего предпринимательства, а также физических лиц, применяющих специальный налоговый режим «Налог на профессиональный доход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6"/>
          <w:lang w:val="ru-RU"/>
        </w:rPr>
        <w:t xml:space="preserve">», в субъектах Российской Федерации, направленных на достижение целей, показателей </w:t>
        <w:br/>
        <w:t xml:space="preserve">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инициативы»;</w:t>
      </w:r>
      <w:r>
        <w:rPr>
          <w:rFonts w:ascii="PT Astra Serif" w:hAnsi="PT Astra Serif" w:eastAsia="PT Astra Serif" w:cs="PT Astra Serif"/>
          <w:b w:val="0"/>
          <w:sz w:val="26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6"/>
          <w:szCs w:val="26"/>
        </w:rPr>
      </w:r>
    </w:p>
    <w:p>
      <w:pPr>
        <w:pStyle w:val="885"/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b w:val="0"/>
          <w:bCs w:val="0"/>
          <w:i w:val="0"/>
          <w:strike w:val="0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6"/>
          <w:lang w:val="ru-RU"/>
        </w:rPr>
        <w:t xml:space="preserve">постановление Правительства Российской Федерации от 04.08.2015 № 794 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6"/>
          <w:lang w:val="ru-RU"/>
        </w:rPr>
        <w:t xml:space="preserve">Об индустриальных (промышленных) парках и управляющих компаниях индустриальных (промышленных) парков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6"/>
          <w:lang w:val="ru-RU"/>
        </w:rPr>
        <w:t xml:space="preserve">»;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6"/>
          <w:szCs w:val="26"/>
        </w:rPr>
      </w:r>
    </w:p>
    <w:p>
      <w:pPr>
        <w:pStyle w:val="885"/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b w:val="0"/>
          <w:bCs w:val="0"/>
          <w:i w:val="0"/>
          <w:strike w:val="0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i w:val="0"/>
          <w:strike w:val="0"/>
          <w:sz w:val="26"/>
          <w:lang w:val="ru-RU"/>
        </w:rPr>
        <w:t xml:space="preserve">Постановление Правительства Российской Федерации от 27.12.2019 № 1863 «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6"/>
          <w:lang w:val="ru-RU"/>
        </w:rPr>
        <w:t xml:space="preserve">О промышленных технопарках и управляющих компаниях промышленных технопарков</w:t>
      </w:r>
      <w:r>
        <w:rPr>
          <w:rFonts w:ascii="PT Astra Serif" w:hAnsi="PT Astra Serif" w:eastAsia="PT Astra Serif" w:cs="PT Astra Serif"/>
          <w:b w:val="0"/>
          <w:i w:val="0"/>
          <w:strike w:val="0"/>
          <w:sz w:val="26"/>
          <w:lang w:val="ru-RU"/>
        </w:rPr>
        <w:t xml:space="preserve">»</w:t>
      </w:r>
      <w:r>
        <w:rPr>
          <w:rFonts w:ascii="PT Astra Serif" w:hAnsi="PT Astra Serif" w:cs="PT Astra Serif"/>
          <w:b w:val="0"/>
          <w:bCs w:val="0"/>
          <w:i w:val="0"/>
          <w:strike w:val="0"/>
          <w:sz w:val="26"/>
          <w:szCs w:val="26"/>
        </w:rPr>
      </w:r>
      <w:r>
        <w:rPr>
          <w:rFonts w:ascii="PT Astra Serif" w:hAnsi="PT Astra Serif" w:eastAsia="PT Astra Serif" w:cs="PT Astra Serif"/>
          <w:b w:val="0"/>
          <w:i w:val="0"/>
          <w:strike w:val="0"/>
          <w:sz w:val="26"/>
          <w:lang w:val="ru-RU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i w:val="0"/>
          <w:strike w:val="0"/>
          <w:sz w:val="26"/>
          <w:szCs w:val="26"/>
          <w:lang w:val="ru-RU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6"/>
          <w:szCs w:val="26"/>
        </w:rPr>
      </w:r>
      <w:r>
        <w:rPr>
          <w:rFonts w:ascii="PT Astra Serif" w:hAnsi="PT Astra Serif" w:cs="PT Astra Serif"/>
          <w:b w:val="0"/>
          <w:bCs w:val="0"/>
          <w:i w:val="0"/>
          <w:strike w:val="0"/>
          <w:sz w:val="26"/>
          <w:szCs w:val="26"/>
        </w:rPr>
      </w:r>
    </w:p>
    <w:p>
      <w:pPr>
        <w:pStyle w:val="858"/>
        <w:contextualSpacing w:val="0"/>
        <w:ind w:left="709" w:firstLine="0"/>
        <w:jc w:val="both"/>
        <w:spacing w:before="0" w:after="0" w:line="240" w:lineRule="auto"/>
        <w:shd w:val="clear" w:color="auto" w:fill="ffffff"/>
        <w:rPr>
          <w:rFonts w:ascii="PT Astra Serif" w:hAnsi="PT Astra Serif" w:cs="PT Astra Serif"/>
          <w:bCs/>
          <w:sz w:val="26"/>
          <w:szCs w:val="26"/>
          <w:highlight w:val="white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6"/>
          <w:szCs w:val="26"/>
          <w:highlight w:val="none"/>
        </w:rPr>
        <w:t xml:space="preserve">2.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highlight w:val="white"/>
        </w:rPr>
        <w:t xml:space="preserve">Характеристика основных положений проекта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highlight w:val="white"/>
        </w:rPr>
        <w:t xml:space="preserve">распоряжения</w:t>
      </w:r>
      <w:r>
        <w:rPr>
          <w:rFonts w:ascii="PT Astra Serif" w:hAnsi="PT Astra Serif" w:eastAsia="PT Astra Serif" w:cs="PT Astra Serif"/>
          <w:b/>
          <w:bCs/>
          <w:sz w:val="26"/>
          <w:szCs w:val="26"/>
          <w:highlight w:val="white"/>
        </w:rPr>
        <w:t xml:space="preserve">:</w:t>
      </w:r>
      <w:r>
        <w:rPr>
          <w:rFonts w:ascii="PT Astra Serif" w:hAnsi="PT Astra Serif" w:cs="PT Astra Serif"/>
          <w:bCs/>
          <w:sz w:val="26"/>
          <w:szCs w:val="26"/>
          <w:highlight w:val="white"/>
        </w:rPr>
      </w:r>
      <w:r>
        <w:rPr>
          <w:rFonts w:ascii="PT Astra Serif" w:hAnsi="PT Astra Serif" w:cs="PT Astra Serif"/>
          <w:bCs/>
          <w:sz w:val="26"/>
          <w:szCs w:val="26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auto" w:fill="ffffff"/>
        <w:rPr>
          <w:rFonts w:ascii="PT Astra Serif" w:hAnsi="PT Astra Serif" w:cs="PT Astra Serif"/>
          <w:sz w:val="26"/>
          <w:szCs w:val="26"/>
        </w:rPr>
        <w:suppressLineNumbers w:val="0"/>
      </w:pPr>
      <w:r>
        <w:rPr>
          <w:rFonts w:ascii="PT Astra Serif" w:hAnsi="PT Astra Serif" w:eastAsia="PT Astra Serif" w:cs="PT Astra Serif"/>
          <w:bCs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Проект постановления включает в себя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определение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Министерств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а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экономическо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го развития Республики Хакасия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органом исполнительной власти Республики Хакасия, уполномоченным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предпринимательства, в том числе по обеспечению льготного доступа субъектов малого и среднего предпринимател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ьства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и (или) развития производственных и инновационных компаний, а также на заключ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ение соглашения (соглашений) с управляющей компанией индустриального (промышленного) парка, агропромышленного парка, технопарка, промышленного технопарка о реализации проекта по созданию (развитию) индустриальных (промышленных) парков, агропромышленных парк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ов, технопарков, промышленных технопарков на территории Республики Хакасия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auto" w:fill="ffffff"/>
        <w:rPr>
          <w:rFonts w:ascii="PT Astra Serif" w:hAnsi="PT Astra Serif" w:cs="PT Astra Serif"/>
          <w:sz w:val="26"/>
          <w:szCs w:val="26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3. </w:t>
      </w:r>
      <w:r>
        <w:rPr>
          <w:rFonts w:ascii="PT Astra Serif" w:hAnsi="PT Astra Serif" w:eastAsia="PT Astra Serif" w:cs="PT Astra Serif"/>
          <w:b/>
          <w:sz w:val="26"/>
          <w:szCs w:val="26"/>
          <w:highlight w:val="white"/>
        </w:rPr>
        <w:t xml:space="preserve">Оценка эффективности и </w:t>
      </w:r>
      <w:r>
        <w:rPr>
          <w:rFonts w:ascii="PT Astra Serif" w:hAnsi="PT Astra Serif" w:eastAsia="PT Astra Serif" w:cs="PT Astra Serif"/>
          <w:b/>
          <w:sz w:val="26"/>
          <w:szCs w:val="26"/>
          <w:highlight w:val="white"/>
        </w:rPr>
        <w:t xml:space="preserve">достаточности предлагаемых решений: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pStyle w:val="858"/>
        <w:contextualSpacing w:val="0"/>
        <w:ind w:firstLine="709"/>
        <w:jc w:val="both"/>
        <w:spacing w:before="0" w:after="0" w:line="240" w:lineRule="auto"/>
        <w:shd w:val="clear" w:color="auto" w:fill="ffffff"/>
        <w:rPr>
          <w:rFonts w:ascii="PT Astra Serif" w:hAnsi="PT Astra Serif" w:cs="PT Astra Serif"/>
          <w:sz w:val="26"/>
          <w:szCs w:val="26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ринятие проекта постановления позвол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и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т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направлять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заявк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и управляющих компаний промышленных (индустриальных) парков, агропромышленных парков, технопарков и промышленных технопарков от Республики Хакасия </w:t>
        <w:br/>
        <w:t xml:space="preserve">на предоставление субсидии на государственную поддержку малого и среднего п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редпринимательства, а также физических лиц, применяющих специальный налоговый режим «Налог на профессиональный доход» в субъектах Российской Федерации, направленных на достижение целей, показателей и результатов региональных проектов, обеспечивающих достиж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ение целей, показателей </w:t>
        <w:br/>
        <w:t xml:space="preserve">и результатов федеральных проектов, входящих в состав национального проекта «Эффективная и конкурентная экономика», и требований к организациям, образующим инфраструктуру поддержки субъектов малого и среднего предпринимательства».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auto" w:fill="ffffff"/>
        <w:rPr>
          <w:rFonts w:ascii="PT Astra Serif" w:hAnsi="PT Astra Serif" w:cs="PT Astra Serif"/>
          <w:sz w:val="26"/>
          <w:szCs w:val="26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4. 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Прогноз социально-экономических и иных последствий реализации проекта постановления: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/>
          <w:highlight w:val="none"/>
        </w:rPr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В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рамках реализации проекта постановления б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удет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определен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Министерств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экономического развития Республики Хакасия органом исполнительной власти Республики Хакасия,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уполномоченным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предпринимательства, в том числе по обеспечению льготного доступа субъектов малого и среднего предпринимател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ьства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и (или) развития производственных и инновационных компаний, а также на заключ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ение соглашения (соглашений) с управляющей компанией индустриального (промышленного) парка, агропромышленного парка, технопарка, промышленного технопарка о реализации проекта по созданию (развитию) индустриальных (промышленных) парков, агропромышленных парк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ов, технопарков, промышленных технопарков на территории Республики Хакасия</w:t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.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Cs/>
          <w:sz w:val="26"/>
          <w:szCs w:val="26"/>
          <w:highlight w:val="none"/>
        </w:rPr>
        <w:t xml:space="preserve">Проведен предварительный отбор проектов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по созданию (развитию) индустриальных (промышленных) парков, агропромышленных парк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ов, технопарков, промышленных технопарков на территории Республики Хакасия</w:t>
      </w:r>
      <w:r/>
      <w:r>
        <w:rPr>
          <w:rFonts w:ascii="PT Astra Serif" w:hAnsi="PT Astra Serif" w:eastAsia="PT Astra Serif" w:cs="PT Astra Serif"/>
          <w:bCs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bCs/>
          <w:sz w:val="26"/>
          <w:szCs w:val="26"/>
          <w:highlight w:val="none"/>
        </w:rPr>
        <w:t xml:space="preserve"> п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озвол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яющий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направлять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заявк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и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юридических лиц, осуществляющих свою деятельность на территории Республики Хакасия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желающих осуществить капитальные вложения на территории Республики Хакасия в целях создания (развития)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индустриальных (промышленных) парков, агропромышленных парк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ов, технопарков, промышленных технопарков на территории Республики Хакасия</w:t>
      </w:r>
      <w:r>
        <w:rPr>
          <w:rFonts w:ascii="PT Astra Serif" w:hAnsi="PT Astra Serif" w:eastAsia="PT Astra Serif" w:cs="PT Astra Serif"/>
          <w:bCs/>
          <w:sz w:val="26"/>
          <w:szCs w:val="26"/>
          <w:highlight w:val="none"/>
        </w:rPr>
        <w:t xml:space="preserve"> </w:t>
        <w:br/>
      </w:r>
      <w:r/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от Республики Хакасия на предоставление субсидии на государственную поддержку малого и среднего предпринимательства, а также физических лиц, применяющих с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пециальный налоговый режим «Налог на профессиональный доход»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ов, входящих в состав национального проекта «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Эффективная и конкурентная экономика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», и требований </w:t>
        <w:br/>
        <w:t xml:space="preserve">к организац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иям, образующим инфраструктуру поддержки субъектов малого </w:t>
        <w:br/>
        <w:t xml:space="preserve">и среднего предпринимательства, способствующие повышению инвестиционной активности хозяйствующих субъектов на территории Республики Хакасия, создания новых рабочих мест и промышленных предприятий.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/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</w:p>
    <w:p>
      <w:pPr>
        <w:ind w:right="-1"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5. 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Информация о соблюдении порядка принятия проекта постановления: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1"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Специальные требования к процедуре принятия данного правового акта законодательством не предусмотрены.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-1"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роект постановления принимается в опросном порядке путем согласования в системе «Дело» с исполнительными органами Республики Хакасия.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8"/>
        <w:contextualSpacing w:val="0"/>
        <w:ind w:left="0" w:right="0" w:firstLine="709"/>
        <w:jc w:val="both"/>
        <w:spacing w:before="0" w:after="0" w:line="240" w:lineRule="auto"/>
        <w:shd w:val="clear" w:color="auto" w:fill="ffffff"/>
        <w:rPr>
          <w:rFonts w:ascii="PT Astra Serif" w:hAnsi="PT Astra Serif" w:cs="PT Astra Serif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6. Указание на необходимость (или отсутствие необходимости) проведения процедуры оценки регулирующего воздействия: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858"/>
        <w:contextualSpacing w:val="0"/>
        <w:ind w:firstLine="709"/>
        <w:jc w:val="both"/>
        <w:spacing w:before="0" w:after="0" w:line="240" w:lineRule="auto"/>
        <w:shd w:val="clear" w:color="auto" w:fill="ffffff"/>
        <w:rPr>
          <w:rFonts w:ascii="PT Astra Serif" w:hAnsi="PT Astra Serif" w:cs="PT Astra Serif"/>
          <w:sz w:val="26"/>
          <w:szCs w:val="26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Проект указанного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постановления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подлежит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оценке регулирующего воздействия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Cs w:val="26"/>
          <w:highlight w:val="none"/>
        </w:rPr>
        <w:t xml:space="preserve">в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соо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тветствии с Порядком оценки регулирующего воздействия проектов нормативных актов, затрагивающих вопросы предпринимательской </w:t>
        <w:br/>
        <w:t xml:space="preserve">и инвестиционной деятельности, утвержденным постановлением Правительства Республики Хакасия от 02.12.2013 № 671 «Об утверждении Поряд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ка оценки регулирующего воздействия проектов нормативных правовых актов Республики Хакасия и По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деятельности», поскольку затрагивает вопросы осуществления предпринимательской и инвестиционной деятельности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.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pStyle w:val="858"/>
        <w:contextualSpacing w:val="0"/>
        <w:jc w:val="both"/>
        <w:spacing w:before="0" w:after="0" w:line="240" w:lineRule="auto"/>
        <w:rPr>
          <w:rFonts w:ascii="PT Astra Serif" w:hAnsi="PT Astra Serif" w:cs="PT Astra Serif"/>
          <w:sz w:val="26"/>
          <w:szCs w:val="26"/>
        </w:rPr>
        <w:suppressLineNumbers w:val="0"/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5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5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Министр экономического развития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5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Республики Хакасия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Р. Ковтун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1" w:bottom="567" w:left="164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alibri">
    <w:panose1 w:val="020F0502020204030204"/>
  </w:font>
  <w:font w:name="Courier New">
    <w:panose1 w:val="020704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rPr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76"/>
    <w:semiHidden/>
  </w:style>
  <w:style w:type="table" w:styleId="860">
    <w:name w:val="Обычная таблица"/>
    <w:next w:val="860"/>
    <w:link w:val="858"/>
    <w:semiHidden/>
    <w:tblPr/>
  </w:style>
  <w:style w:type="numbering" w:styleId="861">
    <w:name w:val="Нет списка"/>
    <w:next w:val="861"/>
    <w:link w:val="858"/>
    <w:semiHidden/>
  </w:style>
  <w:style w:type="paragraph" w:styleId="862">
    <w:name w:val="ConsPlusTitle"/>
    <w:next w:val="862"/>
    <w:link w:val="858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863">
    <w:name w:val="ConsPlusNormal"/>
    <w:next w:val="863"/>
    <w:link w:val="858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864">
    <w:name w:val="Текст выноски"/>
    <w:basedOn w:val="858"/>
    <w:next w:val="864"/>
    <w:link w:val="865"/>
    <w:rPr>
      <w:rFonts w:ascii="Tahoma" w:hAnsi="Tahoma"/>
      <w:sz w:val="16"/>
      <w:szCs w:val="16"/>
    </w:rPr>
  </w:style>
  <w:style w:type="character" w:styleId="865">
    <w:name w:val="Текст выноски Знак"/>
    <w:next w:val="865"/>
    <w:link w:val="864"/>
    <w:rPr>
      <w:rFonts w:ascii="Tahoma" w:hAnsi="Tahoma"/>
      <w:sz w:val="16"/>
      <w:szCs w:val="16"/>
    </w:rPr>
  </w:style>
  <w:style w:type="paragraph" w:styleId="866">
    <w:name w:val="Текст"/>
    <w:basedOn w:val="858"/>
    <w:next w:val="866"/>
    <w:link w:val="867"/>
    <w:rPr>
      <w:rFonts w:ascii="Courier New" w:hAnsi="Courier New"/>
      <w:sz w:val="20"/>
      <w:szCs w:val="20"/>
    </w:rPr>
  </w:style>
  <w:style w:type="character" w:styleId="867">
    <w:name w:val="Текст Знак"/>
    <w:next w:val="867"/>
    <w:link w:val="866"/>
    <w:rPr>
      <w:rFonts w:ascii="Courier New" w:hAnsi="Courier New"/>
    </w:rPr>
  </w:style>
  <w:style w:type="paragraph" w:styleId="868">
    <w:name w:val="ConsPlusCell"/>
    <w:next w:val="868"/>
    <w:link w:val="858"/>
    <w:rPr>
      <w:rFonts w:ascii="Arial" w:hAnsi="Arial" w:eastAsia="Calibri"/>
      <w:lang w:val="ru-RU" w:eastAsia="en-US" w:bidi="ar-SA"/>
    </w:rPr>
  </w:style>
  <w:style w:type="paragraph" w:styleId="869">
    <w:name w:val="ConsNormal"/>
    <w:next w:val="869"/>
    <w:link w:val="858"/>
    <w:pPr>
      <w:ind w:firstLine="720"/>
      <w:widowControl w:val="off"/>
    </w:pPr>
    <w:rPr>
      <w:rFonts w:ascii="Arial" w:hAnsi="Arial"/>
      <w:sz w:val="18"/>
      <w:lang w:val="ru-RU" w:eastAsia="ru-RU" w:bidi="ar-SA"/>
    </w:rPr>
  </w:style>
  <w:style w:type="paragraph" w:styleId="870">
    <w:name w:val="Верхний колонтитул"/>
    <w:basedOn w:val="858"/>
    <w:next w:val="870"/>
    <w:link w:val="871"/>
    <w:pPr>
      <w:tabs>
        <w:tab w:val="center" w:pos="4677" w:leader="none"/>
        <w:tab w:val="right" w:pos="9355" w:leader="none"/>
      </w:tabs>
    </w:pPr>
  </w:style>
  <w:style w:type="character" w:styleId="871">
    <w:name w:val="Верхний колонтитул Знак"/>
    <w:next w:val="871"/>
    <w:link w:val="870"/>
    <w:rPr>
      <w:sz w:val="24"/>
      <w:szCs w:val="24"/>
    </w:rPr>
  </w:style>
  <w:style w:type="paragraph" w:styleId="872">
    <w:name w:val="Нижний колонтитул"/>
    <w:basedOn w:val="858"/>
    <w:next w:val="872"/>
    <w:link w:val="873"/>
    <w:pPr>
      <w:tabs>
        <w:tab w:val="center" w:pos="4677" w:leader="none"/>
        <w:tab w:val="right" w:pos="9355" w:leader="none"/>
      </w:tabs>
    </w:pPr>
  </w:style>
  <w:style w:type="character" w:styleId="873">
    <w:name w:val="Нижний колонтитул Знак"/>
    <w:next w:val="873"/>
    <w:link w:val="872"/>
    <w:rPr>
      <w:sz w:val="24"/>
      <w:szCs w:val="24"/>
    </w:rPr>
  </w:style>
  <w:style w:type="paragraph" w:styleId="874">
    <w:name w:val="Обычный (веб)"/>
    <w:basedOn w:val="858"/>
    <w:next w:val="874"/>
    <w:link w:val="858"/>
    <w:pPr>
      <w:spacing w:before="100" w:beforeAutospacing="1" w:after="100" w:afterAutospacing="1"/>
    </w:pPr>
  </w:style>
  <w:style w:type="character" w:styleId="875">
    <w:name w:val="Гиперссылка"/>
    <w:next w:val="875"/>
    <w:link w:val="858"/>
    <w:rPr>
      <w:color w:val="0000ff"/>
      <w:u w:val="single"/>
    </w:rPr>
  </w:style>
  <w:style w:type="paragraph" w:styleId="876">
    <w:name w:val="Знак Знак Знак Знак Знак Знак Знак"/>
    <w:basedOn w:val="858"/>
    <w:next w:val="876"/>
    <w:link w:val="8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77">
    <w:name w:val=" Знак"/>
    <w:basedOn w:val="858"/>
    <w:next w:val="877"/>
    <w:link w:val="8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78">
    <w:name w:val="Сетка таблицы"/>
    <w:basedOn w:val="860"/>
    <w:next w:val="878"/>
    <w:link w:val="858"/>
    <w:tblPr/>
  </w:style>
  <w:style w:type="paragraph" w:styleId="879">
    <w:name w:val=" Знак1"/>
    <w:basedOn w:val="858"/>
    <w:next w:val="879"/>
    <w:link w:val="8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80">
    <w:name w:val=" Знак2"/>
    <w:basedOn w:val="858"/>
    <w:next w:val="880"/>
    <w:link w:val="8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81">
    <w:name w:val="Строгий"/>
    <w:next w:val="881"/>
    <w:link w:val="858"/>
    <w:rPr>
      <w:b/>
      <w:bCs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  <w:style w:type="paragraph" w:styleId="885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9</cp:revision>
  <dcterms:modified xsi:type="dcterms:W3CDTF">2025-03-18T05:21:04Z</dcterms:modified>
</cp:coreProperties>
</file>